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702" w:rsidRDefault="00823702" w:rsidP="00823702">
      <w:pPr>
        <w:pBdr>
          <w:top w:val="single" w:sz="4" w:space="1" w:color="auto"/>
          <w:left w:val="single" w:sz="4" w:space="4" w:color="auto"/>
          <w:bottom w:val="single" w:sz="4" w:space="1" w:color="auto"/>
          <w:right w:val="single" w:sz="4" w:space="4" w:color="auto"/>
        </w:pBdr>
      </w:pPr>
      <w:r w:rsidRPr="00823702">
        <w:rPr>
          <w:noProof/>
          <w:lang w:eastAsia="fr-FR"/>
        </w:rPr>
        <w:drawing>
          <wp:inline distT="0" distB="0" distL="0" distR="0">
            <wp:extent cx="3663950" cy="1075553"/>
            <wp:effectExtent l="0" t="0" r="0" b="0"/>
            <wp:docPr id="1" name="Image 1" descr="C:\Users\marie.mazerolle\Desktop\bureau 20160916\ALCIMED\Action 1-1\logo\logo DITEP_Plan de trav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e.mazerolle\Desktop\bureau 20160916\ALCIMED\Action 1-1\logo\logo DITEP_Plan de travail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39942" cy="1097860"/>
                    </a:xfrm>
                    <a:prstGeom prst="rect">
                      <a:avLst/>
                    </a:prstGeom>
                    <a:noFill/>
                    <a:ln>
                      <a:noFill/>
                    </a:ln>
                  </pic:spPr>
                </pic:pic>
              </a:graphicData>
            </a:graphic>
          </wp:inline>
        </w:drawing>
      </w:r>
      <w:r>
        <w:t xml:space="preserve"> </w:t>
      </w:r>
      <w:r w:rsidRPr="00823702">
        <w:rPr>
          <w:b/>
          <w:color w:val="ED7D31" w:themeColor="accent2"/>
          <w:sz w:val="48"/>
          <w:szCs w:val="48"/>
        </w:rPr>
        <w:t>9 janvier 2018</w:t>
      </w:r>
    </w:p>
    <w:p w:rsidR="00BE4DAB" w:rsidRDefault="00BE4DAB" w:rsidP="00823702">
      <w:pPr>
        <w:pBdr>
          <w:top w:val="single" w:sz="4" w:space="1" w:color="auto"/>
          <w:left w:val="single" w:sz="4" w:space="4" w:color="auto"/>
          <w:bottom w:val="single" w:sz="4" w:space="1" w:color="auto"/>
          <w:right w:val="single" w:sz="4" w:space="4" w:color="auto"/>
        </w:pBdr>
      </w:pPr>
    </w:p>
    <w:p w:rsidR="00BE4DAB" w:rsidRPr="009A34A7" w:rsidRDefault="00823702" w:rsidP="00823702">
      <w:pPr>
        <w:pBdr>
          <w:top w:val="single" w:sz="4" w:space="1" w:color="auto"/>
          <w:left w:val="single" w:sz="4" w:space="4" w:color="auto"/>
          <w:bottom w:val="single" w:sz="4" w:space="1" w:color="auto"/>
          <w:right w:val="single" w:sz="4" w:space="4" w:color="auto"/>
        </w:pBdr>
      </w:pPr>
      <w:r w:rsidRPr="00823702">
        <w:rPr>
          <w:noProof/>
          <w:lang w:eastAsia="fr-FR"/>
        </w:rPr>
        <w:drawing>
          <wp:inline distT="0" distB="0" distL="0" distR="0">
            <wp:extent cx="5760720" cy="36183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61830"/>
                    </a:xfrm>
                    <a:prstGeom prst="rect">
                      <a:avLst/>
                    </a:prstGeom>
                    <a:noFill/>
                    <a:ln>
                      <a:noFill/>
                    </a:ln>
                  </pic:spPr>
                </pic:pic>
              </a:graphicData>
            </a:graphic>
          </wp:inline>
        </w:drawing>
      </w:r>
    </w:p>
    <w:p w:rsidR="00823702" w:rsidRPr="00823702" w:rsidRDefault="00823702" w:rsidP="00823702">
      <w:pPr>
        <w:pBdr>
          <w:top w:val="single" w:sz="4" w:space="1" w:color="auto"/>
          <w:left w:val="single" w:sz="4" w:space="4" w:color="auto"/>
          <w:bottom w:val="single" w:sz="4" w:space="1" w:color="auto"/>
          <w:right w:val="single" w:sz="4" w:space="4" w:color="auto"/>
        </w:pBdr>
        <w:rPr>
          <w:b/>
        </w:rPr>
      </w:pPr>
      <w:r w:rsidRPr="00823702">
        <w:rPr>
          <w:b/>
        </w:rPr>
        <w:t>Institutions présentées et intervenants :</w:t>
      </w:r>
    </w:p>
    <w:tbl>
      <w:tblPr>
        <w:tblStyle w:val="Grilledutableau"/>
        <w:tblW w:w="9356" w:type="dxa"/>
        <w:tblInd w:w="-147" w:type="dxa"/>
        <w:tblLook w:val="04A0" w:firstRow="1" w:lastRow="0" w:firstColumn="1" w:lastColumn="0" w:noHBand="0" w:noVBand="1"/>
      </w:tblPr>
      <w:tblGrid>
        <w:gridCol w:w="4678"/>
        <w:gridCol w:w="4678"/>
      </w:tblGrid>
      <w:tr w:rsidR="00823702" w:rsidTr="0067756E">
        <w:tc>
          <w:tcPr>
            <w:tcW w:w="4678" w:type="dxa"/>
          </w:tcPr>
          <w:p w:rsidR="00823702" w:rsidRDefault="00823702" w:rsidP="00823702">
            <w:r>
              <w:t>Agence Régionale de Santé, comité 63</w:t>
            </w:r>
          </w:p>
        </w:tc>
        <w:tc>
          <w:tcPr>
            <w:tcW w:w="4678" w:type="dxa"/>
          </w:tcPr>
          <w:p w:rsidR="00823702" w:rsidRDefault="00823702" w:rsidP="00823702">
            <w:r>
              <w:t xml:space="preserve">Mme </w:t>
            </w:r>
            <w:r w:rsidRPr="00A52B63">
              <w:rPr>
                <w:caps/>
              </w:rPr>
              <w:t>Kumpf</w:t>
            </w:r>
            <w:r>
              <w:t xml:space="preserve"> </w:t>
            </w:r>
            <w:r w:rsidR="00A9143E">
              <w:t>+ 1</w:t>
            </w:r>
            <w:bookmarkStart w:id="0" w:name="_GoBack"/>
            <w:bookmarkEnd w:id="0"/>
            <w:r w:rsidR="00A52B63">
              <w:t xml:space="preserve"> personne</w:t>
            </w:r>
          </w:p>
        </w:tc>
      </w:tr>
      <w:tr w:rsidR="00823702" w:rsidTr="0067756E">
        <w:tc>
          <w:tcPr>
            <w:tcW w:w="4678" w:type="dxa"/>
          </w:tcPr>
          <w:p w:rsidR="00823702" w:rsidRDefault="00823702" w:rsidP="00823702">
            <w:r>
              <w:t>Maison Départementale des Personnes Handicapées</w:t>
            </w:r>
          </w:p>
        </w:tc>
        <w:tc>
          <w:tcPr>
            <w:tcW w:w="4678" w:type="dxa"/>
          </w:tcPr>
          <w:p w:rsidR="00823702" w:rsidRDefault="00823702" w:rsidP="00823702">
            <w:r>
              <w:t xml:space="preserve">Mme </w:t>
            </w:r>
            <w:r w:rsidRPr="00A52B63">
              <w:rPr>
                <w:caps/>
              </w:rPr>
              <w:t>Capitan</w:t>
            </w:r>
          </w:p>
        </w:tc>
      </w:tr>
      <w:tr w:rsidR="00823702" w:rsidTr="0067756E">
        <w:tc>
          <w:tcPr>
            <w:tcW w:w="4678" w:type="dxa"/>
          </w:tcPr>
          <w:p w:rsidR="00823702" w:rsidRDefault="0067756E" w:rsidP="00823702">
            <w:r>
              <w:t>La mise en dispositif des ITEP (Institut Thérapeutique Educatif et Pédagogique)</w:t>
            </w:r>
          </w:p>
        </w:tc>
        <w:tc>
          <w:tcPr>
            <w:tcW w:w="4678" w:type="dxa"/>
          </w:tcPr>
          <w:p w:rsidR="00823702" w:rsidRDefault="0067756E" w:rsidP="00823702">
            <w:r>
              <w:t xml:space="preserve">Marie </w:t>
            </w:r>
            <w:r w:rsidRPr="00A52B63">
              <w:rPr>
                <w:caps/>
              </w:rPr>
              <w:t>Mazerolle</w:t>
            </w:r>
            <w:r>
              <w:t xml:space="preserve"> / Solange </w:t>
            </w:r>
            <w:r w:rsidRPr="00A52B63">
              <w:rPr>
                <w:caps/>
              </w:rPr>
              <w:t>Crouzet</w:t>
            </w:r>
          </w:p>
          <w:p w:rsidR="00681E7F" w:rsidRPr="00A52B63" w:rsidRDefault="00681E7F" w:rsidP="00823702">
            <w:pPr>
              <w:rPr>
                <w:caps/>
              </w:rPr>
            </w:pPr>
            <w:r>
              <w:t xml:space="preserve">Annie </w:t>
            </w:r>
            <w:r w:rsidRPr="00A52B63">
              <w:rPr>
                <w:caps/>
              </w:rPr>
              <w:t>Bardot</w:t>
            </w:r>
          </w:p>
          <w:p w:rsidR="00681E7F" w:rsidRDefault="00681E7F" w:rsidP="00823702">
            <w:r>
              <w:t xml:space="preserve">Cassandre </w:t>
            </w:r>
            <w:r w:rsidRPr="00A52B63">
              <w:rPr>
                <w:caps/>
              </w:rPr>
              <w:t>Toneghin</w:t>
            </w:r>
          </w:p>
          <w:p w:rsidR="00681E7F" w:rsidRDefault="00681E7F" w:rsidP="00823702">
            <w:r>
              <w:t xml:space="preserve">Matthieu </w:t>
            </w:r>
            <w:r w:rsidRPr="00A52B63">
              <w:rPr>
                <w:caps/>
              </w:rPr>
              <w:t>Fournier</w:t>
            </w:r>
          </w:p>
        </w:tc>
      </w:tr>
      <w:tr w:rsidR="00823702" w:rsidTr="0067756E">
        <w:tc>
          <w:tcPr>
            <w:tcW w:w="4678" w:type="dxa"/>
          </w:tcPr>
          <w:p w:rsidR="00823702" w:rsidRDefault="00823702" w:rsidP="00823702">
            <w:r>
              <w:t>Le Dispositif ITEP J-Laporte géré par ALTERIS</w:t>
            </w:r>
          </w:p>
        </w:tc>
        <w:tc>
          <w:tcPr>
            <w:tcW w:w="4678" w:type="dxa"/>
          </w:tcPr>
          <w:p w:rsidR="00823702" w:rsidRDefault="00823702" w:rsidP="00823702">
            <w:r>
              <w:t>Solange C</w:t>
            </w:r>
            <w:r w:rsidRPr="00A52B63">
              <w:rPr>
                <w:caps/>
              </w:rPr>
              <w:t>rouzet</w:t>
            </w:r>
          </w:p>
        </w:tc>
      </w:tr>
      <w:tr w:rsidR="00823702" w:rsidTr="0067756E">
        <w:tc>
          <w:tcPr>
            <w:tcW w:w="4678" w:type="dxa"/>
          </w:tcPr>
          <w:p w:rsidR="00823702" w:rsidRDefault="00823702" w:rsidP="00823702">
            <w:r>
              <w:t>Le dispositif ITEP Montferrand/Volvic géré par la Fondation OVE</w:t>
            </w:r>
          </w:p>
        </w:tc>
        <w:tc>
          <w:tcPr>
            <w:tcW w:w="4678" w:type="dxa"/>
          </w:tcPr>
          <w:p w:rsidR="00823702" w:rsidRDefault="00823702" w:rsidP="00823702">
            <w:r>
              <w:t xml:space="preserve">Marie </w:t>
            </w:r>
            <w:r w:rsidRPr="00A52B63">
              <w:rPr>
                <w:caps/>
              </w:rPr>
              <w:t>Mazerolle</w:t>
            </w:r>
          </w:p>
        </w:tc>
      </w:tr>
    </w:tbl>
    <w:p w:rsidR="00681E7F" w:rsidRDefault="00681E7F" w:rsidP="00823702">
      <w:pPr>
        <w:pBdr>
          <w:top w:val="single" w:sz="4" w:space="1" w:color="auto"/>
          <w:left w:val="single" w:sz="4" w:space="4" w:color="auto"/>
          <w:bottom w:val="single" w:sz="4" w:space="1" w:color="auto"/>
          <w:right w:val="single" w:sz="4" w:space="4" w:color="auto"/>
        </w:pBdr>
      </w:pPr>
    </w:p>
    <w:p w:rsidR="00823702" w:rsidRPr="000B7906" w:rsidRDefault="0067756E" w:rsidP="000B7906">
      <w:pPr>
        <w:pBdr>
          <w:top w:val="single" w:sz="4" w:space="1" w:color="auto"/>
          <w:left w:val="single" w:sz="4" w:space="4" w:color="auto"/>
          <w:bottom w:val="single" w:sz="4" w:space="1" w:color="auto"/>
          <w:right w:val="single" w:sz="4" w:space="4" w:color="auto"/>
        </w:pBdr>
        <w:rPr>
          <w:b/>
          <w:color w:val="ED7D31" w:themeColor="accent2"/>
          <w:sz w:val="24"/>
          <w:szCs w:val="24"/>
        </w:rPr>
      </w:pPr>
      <w:r w:rsidRPr="0067756E">
        <w:rPr>
          <w:b/>
          <w:color w:val="ED7D31" w:themeColor="accent2"/>
          <w:sz w:val="24"/>
          <w:szCs w:val="24"/>
        </w:rPr>
        <w:t>1</w:t>
      </w:r>
      <w:r w:rsidRPr="0067756E">
        <w:rPr>
          <w:b/>
          <w:color w:val="ED7D31" w:themeColor="accent2"/>
          <w:sz w:val="24"/>
          <w:szCs w:val="24"/>
          <w:vertAlign w:val="superscript"/>
        </w:rPr>
        <w:t xml:space="preserve">ère </w:t>
      </w:r>
      <w:r w:rsidRPr="0067756E">
        <w:rPr>
          <w:b/>
          <w:color w:val="ED7D31" w:themeColor="accent2"/>
          <w:sz w:val="24"/>
          <w:szCs w:val="24"/>
        </w:rPr>
        <w:t>intervention : ARS 63</w:t>
      </w:r>
      <w:r w:rsidR="000B7906">
        <w:rPr>
          <w:b/>
          <w:color w:val="ED7D31" w:themeColor="accent2"/>
          <w:sz w:val="24"/>
          <w:szCs w:val="24"/>
        </w:rPr>
        <w:t xml:space="preserve"> </w:t>
      </w:r>
      <w:r>
        <w:t xml:space="preserve">CF Document Power point </w:t>
      </w:r>
    </w:p>
    <w:p w:rsidR="0067756E" w:rsidRPr="000B7906" w:rsidRDefault="0067756E" w:rsidP="00823702">
      <w:pPr>
        <w:pBdr>
          <w:top w:val="single" w:sz="4" w:space="1" w:color="auto"/>
          <w:left w:val="single" w:sz="4" w:space="4" w:color="auto"/>
          <w:bottom w:val="single" w:sz="4" w:space="1" w:color="auto"/>
          <w:right w:val="single" w:sz="4" w:space="4" w:color="auto"/>
        </w:pBdr>
        <w:rPr>
          <w:b/>
          <w:color w:val="ED7D31" w:themeColor="accent2"/>
          <w:sz w:val="24"/>
          <w:szCs w:val="24"/>
        </w:rPr>
      </w:pPr>
      <w:r w:rsidRPr="0067756E">
        <w:rPr>
          <w:b/>
          <w:color w:val="ED7D31" w:themeColor="accent2"/>
          <w:sz w:val="24"/>
          <w:szCs w:val="24"/>
        </w:rPr>
        <w:t>2</w:t>
      </w:r>
      <w:r w:rsidRPr="0067756E">
        <w:rPr>
          <w:b/>
          <w:color w:val="ED7D31" w:themeColor="accent2"/>
          <w:sz w:val="24"/>
          <w:szCs w:val="24"/>
          <w:vertAlign w:val="superscript"/>
        </w:rPr>
        <w:t>ème</w:t>
      </w:r>
      <w:r w:rsidRPr="0067756E">
        <w:rPr>
          <w:b/>
          <w:color w:val="ED7D31" w:themeColor="accent2"/>
          <w:sz w:val="24"/>
          <w:szCs w:val="24"/>
        </w:rPr>
        <w:t xml:space="preserve"> intervention : MDPH 63</w:t>
      </w:r>
      <w:r w:rsidR="000B7906">
        <w:rPr>
          <w:b/>
          <w:color w:val="ED7D31" w:themeColor="accent2"/>
          <w:sz w:val="24"/>
          <w:szCs w:val="24"/>
        </w:rPr>
        <w:t xml:space="preserve"> </w:t>
      </w:r>
      <w:r w:rsidR="000B7906">
        <w:t>CF Document Power point</w:t>
      </w:r>
    </w:p>
    <w:p w:rsidR="0067756E" w:rsidRPr="0067756E" w:rsidRDefault="0067756E" w:rsidP="00823702">
      <w:pPr>
        <w:pBdr>
          <w:top w:val="single" w:sz="4" w:space="1" w:color="auto"/>
          <w:left w:val="single" w:sz="4" w:space="4" w:color="auto"/>
          <w:bottom w:val="single" w:sz="4" w:space="1" w:color="auto"/>
          <w:right w:val="single" w:sz="4" w:space="4" w:color="auto"/>
        </w:pBdr>
        <w:rPr>
          <w:b/>
          <w:i/>
          <w:color w:val="4472C4" w:themeColor="accent1"/>
        </w:rPr>
      </w:pPr>
      <w:r w:rsidRPr="0067756E">
        <w:rPr>
          <w:b/>
          <w:i/>
          <w:color w:val="4472C4" w:themeColor="accent1"/>
        </w:rPr>
        <w:t>Prise de note supplémentaire :</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Les MDPH ont été créées par la Loi du 11 février 2005</w:t>
      </w:r>
      <w:r>
        <w:t xml:space="preserve">. </w:t>
      </w:r>
      <w:r w:rsidRPr="0067756E">
        <w:t>Il y en a une par département. Elle propose un accès aux droits des personnes handicapées.</w:t>
      </w:r>
    </w:p>
    <w:p w:rsidR="0067756E" w:rsidRPr="0067756E" w:rsidRDefault="0067756E" w:rsidP="0067756E">
      <w:pPr>
        <w:pBdr>
          <w:top w:val="single" w:sz="4" w:space="1" w:color="auto"/>
          <w:left w:val="single" w:sz="4" w:space="4" w:color="auto"/>
          <w:bottom w:val="single" w:sz="4" w:space="1" w:color="auto"/>
          <w:right w:val="single" w:sz="4" w:space="4" w:color="auto"/>
        </w:pBdr>
        <w:rPr>
          <w:b/>
          <w:u w:val="single"/>
        </w:rPr>
      </w:pPr>
      <w:r w:rsidRPr="0067756E">
        <w:rPr>
          <w:b/>
          <w:u w:val="single"/>
        </w:rPr>
        <w:t>Loi 2005</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 xml:space="preserve">Principes clés : </w:t>
      </w:r>
      <w:r w:rsidRPr="0067756E">
        <w:tab/>
        <w:t>- Libre choix de la personne</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ab/>
      </w:r>
      <w:r w:rsidRPr="0067756E">
        <w:tab/>
        <w:t>- La participation de la personne</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Piliers :</w:t>
      </w:r>
      <w:r w:rsidRPr="0067756E">
        <w:tab/>
      </w:r>
      <w:r w:rsidRPr="0067756E">
        <w:tab/>
        <w:t>- Notion d’accessibilité</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ab/>
      </w:r>
      <w:r w:rsidRPr="0067756E">
        <w:tab/>
        <w:t>- Notion de compensation. Compenser les effets du handicap</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ab/>
      </w:r>
      <w:r w:rsidRPr="0067756E">
        <w:tab/>
        <w:t>- Aménagement de l’enseignement.</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ab/>
      </w:r>
      <w:r w:rsidRPr="0067756E">
        <w:tab/>
        <w:t>- Compensation : orientation dans un dispositif de l’Education Nationale (mise à disposition d’un ordinateur, d’un matériel adapté par ex….).</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Elle propose une définition du handicap</w:t>
      </w:r>
      <w:r>
        <w:t xml:space="preserve"> : </w:t>
      </w:r>
      <w:r w:rsidRPr="0067756E">
        <w:t>« Constitue un handicap, au sens de la présente loi, toute limitation d’activités ou restriction de participation à la vie active ».</w:t>
      </w:r>
    </w:p>
    <w:p w:rsidR="0067756E" w:rsidRPr="0067756E" w:rsidRDefault="0067756E" w:rsidP="0067756E">
      <w:pPr>
        <w:pBdr>
          <w:top w:val="single" w:sz="4" w:space="1" w:color="auto"/>
          <w:left w:val="single" w:sz="4" w:space="4" w:color="auto"/>
          <w:bottom w:val="single" w:sz="4" w:space="1" w:color="auto"/>
          <w:right w:val="single" w:sz="4" w:space="4" w:color="auto"/>
        </w:pBdr>
        <w:rPr>
          <w:b/>
          <w:u w:val="single"/>
        </w:rPr>
      </w:pPr>
      <w:r w:rsidRPr="0067756E">
        <w:rPr>
          <w:b/>
          <w:u w:val="single"/>
        </w:rPr>
        <w:t>Missions</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lastRenderedPageBreak/>
        <w:t>Elles doivent apporter pour les enfants et les adultes : Informations</w:t>
      </w:r>
      <w:r>
        <w:t>,</w:t>
      </w:r>
      <w:r w:rsidRPr="0067756E">
        <w:t xml:space="preserve"> Accueil et Ecoute</w:t>
      </w:r>
      <w:r>
        <w:t xml:space="preserve">, </w:t>
      </w:r>
      <w:r w:rsidRPr="0067756E">
        <w:t>Evaluation des besoins et Compensation.</w:t>
      </w:r>
    </w:p>
    <w:p w:rsidR="0067756E" w:rsidRPr="0067756E" w:rsidRDefault="0067756E" w:rsidP="0067756E">
      <w:pPr>
        <w:pBdr>
          <w:top w:val="single" w:sz="4" w:space="1" w:color="auto"/>
          <w:left w:val="single" w:sz="4" w:space="4" w:color="auto"/>
          <w:bottom w:val="single" w:sz="4" w:space="1" w:color="auto"/>
          <w:right w:val="single" w:sz="4" w:space="4" w:color="auto"/>
        </w:pBdr>
        <w:rPr>
          <w:b/>
          <w:u w:val="single"/>
        </w:rPr>
      </w:pPr>
      <w:r w:rsidRPr="0067756E">
        <w:rPr>
          <w:b/>
          <w:u w:val="single"/>
        </w:rPr>
        <w:t>Dossier MDPH</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rPr>
          <w:u w:val="single"/>
        </w:rPr>
        <w:t>Départ du Dossier</w:t>
      </w:r>
      <w:r w:rsidRPr="0067756E">
        <w:t> : IMPORTANT : C’est l’usager ou sa famille qui fait une demande à la MDPH</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rPr>
          <w:u w:val="single"/>
        </w:rPr>
        <w:t>Dépôt du Dossier</w:t>
      </w:r>
      <w:r w:rsidRPr="0067756E">
        <w:t> : Formulaire CERFA de demande</w:t>
      </w:r>
      <w:r>
        <w:t xml:space="preserve"> </w:t>
      </w:r>
      <w:r w:rsidRPr="0067756E">
        <w:t>+ Certificat médical CERF</w:t>
      </w:r>
      <w:r>
        <w:t>A</w:t>
      </w:r>
      <w:r w:rsidRPr="0067756E">
        <w:t xml:space="preserve"> (de moins de 6 mois), pièce d’identité du demandeur, justificatif de domicile, et tout élément explicatif du projet de vie et du retentissement du handicap sur la vie quotidienne (scolaire et projet de l’établissement ou du service)</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 Réception et Enregistrement de la demande par la MDPH.</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 Examen de la recevabilité et de la complétude du dossier.</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 Evaluation et analyse de la situation par une équipe pluridisciplinaire d’évaluation. Elaboration du Plan personnalité de compensation. Pour cela l’E</w:t>
      </w:r>
      <w:r>
        <w:t xml:space="preserve">quipe </w:t>
      </w:r>
      <w:r w:rsidRPr="0067756E">
        <w:t>P</w:t>
      </w:r>
      <w:r>
        <w:t xml:space="preserve">luridisciplinaire </w:t>
      </w:r>
      <w:r w:rsidRPr="0067756E">
        <w:t>E</w:t>
      </w:r>
      <w:r>
        <w:t>valuation (EPE)</w:t>
      </w:r>
      <w:r w:rsidRPr="0067756E">
        <w:t xml:space="preserve"> dispose d’un guide barème (définition du handicap)</w:t>
      </w:r>
      <w:r>
        <w:t>.</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 Décision prise par la CDAPH, au nom de la MDPH.</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 Notification envoyée au domicile du demandeur et aux établissements désignés. La MDPH évalue le besoin (pas sur le nombre de place dans l’établissement désigné). Elle notifie, en sachant très bien que le jeune ne rentrera peut-être pas rapidement.</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rPr>
          <w:b/>
          <w:u w:val="single"/>
        </w:rPr>
        <w:t>L’équipe pluridisciplinaire est composée de</w:t>
      </w:r>
      <w:r w:rsidRPr="0067756E">
        <w:t> :</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Personnels MDPH : un référent enfance, l’AS du secteur enfance, un médecin.</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Personnes extérieures :</w:t>
      </w:r>
      <w:r>
        <w:t xml:space="preserve"> </w:t>
      </w:r>
      <w:r w:rsidRPr="0067756E">
        <w:t>Education Nationale : enseignant spécialisé, psychologue scolaire, médecin scolaire</w:t>
      </w:r>
      <w:r>
        <w:t xml:space="preserve"> </w:t>
      </w:r>
      <w:proofErr w:type="gramStart"/>
      <w:r>
        <w:t xml:space="preserve">+  </w:t>
      </w:r>
      <w:r w:rsidRPr="0067756E">
        <w:t>Secteur</w:t>
      </w:r>
      <w:proofErr w:type="gramEnd"/>
      <w:r w:rsidRPr="0067756E">
        <w:t xml:space="preserve"> Hospitalier : Pédopsychiatre</w:t>
      </w:r>
      <w:r>
        <w:t xml:space="preserve"> + </w:t>
      </w:r>
      <w:r w:rsidRPr="0067756E">
        <w:t>Secteur ES</w:t>
      </w:r>
      <w:r>
        <w:t>S</w:t>
      </w:r>
      <w:r w:rsidRPr="0067756E">
        <w:t>M</w:t>
      </w:r>
      <w:r>
        <w:t>S</w:t>
      </w:r>
      <w:r w:rsidRPr="0067756E">
        <w:t> : Directeur ou chef de service d’un établissement ou service médico-social.</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rPr>
          <w:b/>
          <w:u w:val="single"/>
        </w:rPr>
        <w:t>Cheminement de l’évaluation</w:t>
      </w:r>
      <w:r w:rsidRPr="0067756E">
        <w:t> :</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Quelle est la demande de la famille ? Quelle est le projet de vie ?</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Le dossier décrit-il une situation de handicap ?</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Si OUI. Quelle compensation peuvent être envisagées ?</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Si l’AEEH est envisagée ou demandée, l’évaluation du taux d’incapacité est nécessaire.</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Ce n’est pas nécessaire pour les autres compensations.</w:t>
      </w:r>
    </w:p>
    <w:p w:rsidR="0067756E" w:rsidRPr="0067756E" w:rsidRDefault="0067756E" w:rsidP="0067756E">
      <w:pPr>
        <w:pBdr>
          <w:top w:val="single" w:sz="4" w:space="1" w:color="auto"/>
          <w:left w:val="single" w:sz="4" w:space="4" w:color="auto"/>
          <w:bottom w:val="single" w:sz="4" w:space="1" w:color="auto"/>
          <w:right w:val="single" w:sz="4" w:space="4" w:color="auto"/>
        </w:pBdr>
        <w:rPr>
          <w:b/>
          <w:u w:val="single"/>
        </w:rPr>
      </w:pPr>
      <w:r w:rsidRPr="0067756E">
        <w:rPr>
          <w:b/>
          <w:u w:val="single"/>
        </w:rPr>
        <w:t>Compensations possibles :</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rPr>
          <w:u w:val="single"/>
        </w:rPr>
        <w:t>De O à 20 ans</w:t>
      </w:r>
      <w:r w:rsidRPr="0067756E">
        <w:t> :</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 Prestation financières : AEEH et ses compléments</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 xml:space="preserve">- Carte d’invalidité </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 Orientation en ESSMS</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lastRenderedPageBreak/>
        <w:t>- PPS pouvant comprendre les orientations en dispositif spécifique de l’Education Nationale, les maintiens à l’école maternelle, les accompagnements pour le maintien en classe (AESH ex AVS), la mise à disposition de matériel adapté.</w:t>
      </w:r>
    </w:p>
    <w:p w:rsidR="0067756E" w:rsidRPr="0067756E" w:rsidRDefault="0067756E" w:rsidP="0067756E">
      <w:pPr>
        <w:pBdr>
          <w:top w:val="single" w:sz="4" w:space="1" w:color="auto"/>
          <w:left w:val="single" w:sz="4" w:space="4" w:color="auto"/>
          <w:bottom w:val="single" w:sz="4" w:space="1" w:color="auto"/>
          <w:right w:val="single" w:sz="4" w:space="4" w:color="auto"/>
        </w:pBdr>
        <w:rPr>
          <w:b/>
        </w:rPr>
      </w:pPr>
      <w:r w:rsidRPr="0067756E">
        <w:rPr>
          <w:b/>
          <w:u w:val="single"/>
        </w:rPr>
        <w:t>Nouvelles dispositions</w:t>
      </w:r>
      <w:r w:rsidRPr="0067756E">
        <w:rPr>
          <w:b/>
        </w:rPr>
        <w:t> :</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 La réponse : « accompagné pour TOUS »</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 La mise en dispositif des ITEP</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 La création des PCPE</w:t>
      </w:r>
    </w:p>
    <w:p w:rsidR="0067756E" w:rsidRPr="0067756E" w:rsidRDefault="0067756E" w:rsidP="0067756E">
      <w:pPr>
        <w:pBdr>
          <w:top w:val="single" w:sz="4" w:space="1" w:color="auto"/>
          <w:left w:val="single" w:sz="4" w:space="4" w:color="auto"/>
          <w:bottom w:val="single" w:sz="4" w:space="1" w:color="auto"/>
          <w:right w:val="single" w:sz="4" w:space="4" w:color="auto"/>
        </w:pBdr>
        <w:rPr>
          <w:b/>
          <w:u w:val="single"/>
        </w:rPr>
      </w:pPr>
      <w:r w:rsidRPr="0067756E">
        <w:rPr>
          <w:b/>
          <w:u w:val="single"/>
        </w:rPr>
        <w:t>Notifications MDPH (Dispositif ITEP)</w:t>
      </w:r>
    </w:p>
    <w:p w:rsidR="0067756E" w:rsidRPr="0067756E" w:rsidRDefault="00BE4DAB" w:rsidP="0067756E">
      <w:pPr>
        <w:pBdr>
          <w:top w:val="single" w:sz="4" w:space="1" w:color="auto"/>
          <w:left w:val="single" w:sz="4" w:space="4" w:color="auto"/>
          <w:bottom w:val="single" w:sz="4" w:space="1" w:color="auto"/>
          <w:right w:val="single" w:sz="4" w:space="4" w:color="auto"/>
        </w:pBdr>
      </w:pPr>
      <w:r>
        <w:t>L’</w:t>
      </w:r>
      <w:r w:rsidR="0067756E" w:rsidRPr="0067756E">
        <w:t>EPE va proposer une prise en charge pour un Dispositif ITEP et préconiser un type d’accompagnement (ITEP ou SESSAD).</w:t>
      </w:r>
      <w:r>
        <w:t xml:space="preserve"> </w:t>
      </w:r>
      <w:r w:rsidR="0067756E" w:rsidRPr="0067756E">
        <w:t>Les notifications sont valables 3 ans.</w:t>
      </w:r>
    </w:p>
    <w:p w:rsidR="0067756E" w:rsidRPr="0067756E" w:rsidRDefault="0067756E" w:rsidP="0067756E">
      <w:pPr>
        <w:pBdr>
          <w:top w:val="single" w:sz="4" w:space="1" w:color="auto"/>
          <w:left w:val="single" w:sz="4" w:space="4" w:color="auto"/>
          <w:bottom w:val="single" w:sz="4" w:space="1" w:color="auto"/>
          <w:right w:val="single" w:sz="4" w:space="4" w:color="auto"/>
        </w:pBdr>
        <w:rPr>
          <w:b/>
          <w:u w:val="single"/>
        </w:rPr>
      </w:pPr>
      <w:r w:rsidRPr="0067756E">
        <w:rPr>
          <w:b/>
          <w:u w:val="single"/>
        </w:rPr>
        <w:t>Création PCPE</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 xml:space="preserve">Proposition d’une première réponse, dans l’attente d’une rentrée dans un établissement. </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Aider la famille en proposant des solutions provisoires.</w:t>
      </w:r>
    </w:p>
    <w:p w:rsidR="0067756E" w:rsidRPr="0067756E" w:rsidRDefault="0067756E" w:rsidP="0067756E">
      <w:pPr>
        <w:pBdr>
          <w:top w:val="single" w:sz="4" w:space="1" w:color="auto"/>
          <w:left w:val="single" w:sz="4" w:space="4" w:color="auto"/>
          <w:bottom w:val="single" w:sz="4" w:space="1" w:color="auto"/>
          <w:right w:val="single" w:sz="4" w:space="4" w:color="auto"/>
        </w:pBdr>
      </w:pPr>
      <w:r w:rsidRPr="0067756E">
        <w:t>PCPE (Il en existe 2 : Farandole et Pompignat)</w:t>
      </w:r>
    </w:p>
    <w:p w:rsidR="0067756E" w:rsidRDefault="0067756E" w:rsidP="00823702">
      <w:pPr>
        <w:pBdr>
          <w:top w:val="single" w:sz="4" w:space="1" w:color="auto"/>
          <w:left w:val="single" w:sz="4" w:space="4" w:color="auto"/>
          <w:bottom w:val="single" w:sz="4" w:space="1" w:color="auto"/>
          <w:right w:val="single" w:sz="4" w:space="4" w:color="auto"/>
        </w:pBdr>
      </w:pPr>
      <w:r w:rsidRPr="0067756E">
        <w:t>Le PCPE va coordonner les interventions des différents intervenants en attendant qu’une place se libère en établissement.</w:t>
      </w:r>
    </w:p>
    <w:p w:rsidR="00BE4DAB" w:rsidRPr="00BE4DAB" w:rsidRDefault="00BE4DAB" w:rsidP="00823702">
      <w:pPr>
        <w:pBdr>
          <w:top w:val="single" w:sz="4" w:space="1" w:color="auto"/>
          <w:left w:val="single" w:sz="4" w:space="4" w:color="auto"/>
          <w:bottom w:val="single" w:sz="4" w:space="1" w:color="auto"/>
          <w:right w:val="single" w:sz="4" w:space="4" w:color="auto"/>
        </w:pBdr>
        <w:rPr>
          <w:b/>
          <w:color w:val="ED7D31" w:themeColor="accent2"/>
          <w:sz w:val="24"/>
          <w:szCs w:val="24"/>
        </w:rPr>
      </w:pPr>
      <w:r w:rsidRPr="00BE4DAB">
        <w:rPr>
          <w:b/>
          <w:color w:val="ED7D31" w:themeColor="accent2"/>
          <w:sz w:val="24"/>
          <w:szCs w:val="24"/>
        </w:rPr>
        <w:t>3</w:t>
      </w:r>
      <w:r w:rsidRPr="00BE4DAB">
        <w:rPr>
          <w:b/>
          <w:color w:val="ED7D31" w:themeColor="accent2"/>
          <w:sz w:val="24"/>
          <w:szCs w:val="24"/>
          <w:vertAlign w:val="superscript"/>
        </w:rPr>
        <w:t>ème</w:t>
      </w:r>
      <w:r w:rsidRPr="00BE4DAB">
        <w:rPr>
          <w:b/>
          <w:color w:val="ED7D31" w:themeColor="accent2"/>
          <w:sz w:val="24"/>
          <w:szCs w:val="24"/>
        </w:rPr>
        <w:t xml:space="preserve"> Intervention : La mise en dispositif des ITEP, C’est quoi ?</w:t>
      </w:r>
    </w:p>
    <w:p w:rsidR="00BE4DAB" w:rsidRDefault="00BE4DAB" w:rsidP="00823702">
      <w:pPr>
        <w:pBdr>
          <w:top w:val="single" w:sz="4" w:space="1" w:color="auto"/>
          <w:left w:val="single" w:sz="4" w:space="4" w:color="auto"/>
          <w:bottom w:val="single" w:sz="4" w:space="1" w:color="auto"/>
          <w:right w:val="single" w:sz="4" w:space="4" w:color="auto"/>
        </w:pBdr>
      </w:pPr>
      <w:r>
        <w:tab/>
      </w:r>
      <w:r w:rsidR="000B7906">
        <w:t>CF Document Power point</w:t>
      </w:r>
    </w:p>
    <w:p w:rsidR="00823702" w:rsidRPr="00BE4DAB" w:rsidRDefault="00BE4DAB" w:rsidP="00823702">
      <w:pPr>
        <w:pBdr>
          <w:top w:val="single" w:sz="4" w:space="1" w:color="auto"/>
          <w:left w:val="single" w:sz="4" w:space="4" w:color="auto"/>
          <w:bottom w:val="single" w:sz="4" w:space="1" w:color="auto"/>
          <w:right w:val="single" w:sz="4" w:space="4" w:color="auto"/>
        </w:pBdr>
        <w:rPr>
          <w:b/>
          <w:color w:val="ED7D31" w:themeColor="accent2"/>
          <w:sz w:val="24"/>
          <w:szCs w:val="24"/>
        </w:rPr>
      </w:pPr>
      <w:r w:rsidRPr="00BE4DAB">
        <w:rPr>
          <w:b/>
          <w:color w:val="ED7D31" w:themeColor="accent2"/>
          <w:sz w:val="24"/>
          <w:szCs w:val="24"/>
        </w:rPr>
        <w:t>4</w:t>
      </w:r>
      <w:r w:rsidRPr="00BE4DAB">
        <w:rPr>
          <w:b/>
          <w:color w:val="ED7D31" w:themeColor="accent2"/>
          <w:sz w:val="24"/>
          <w:szCs w:val="24"/>
          <w:vertAlign w:val="superscript"/>
        </w:rPr>
        <w:t>ème</w:t>
      </w:r>
      <w:r w:rsidRPr="00BE4DAB">
        <w:rPr>
          <w:b/>
          <w:color w:val="ED7D31" w:themeColor="accent2"/>
          <w:sz w:val="24"/>
          <w:szCs w:val="24"/>
        </w:rPr>
        <w:t xml:space="preserve"> Intervention : Le DITEP Jean Laporte ALTERIS</w:t>
      </w:r>
    </w:p>
    <w:p w:rsidR="00BE4DAB" w:rsidRDefault="000B7906" w:rsidP="00823702">
      <w:pPr>
        <w:pBdr>
          <w:top w:val="single" w:sz="4" w:space="1" w:color="auto"/>
          <w:left w:val="single" w:sz="4" w:space="4" w:color="auto"/>
          <w:bottom w:val="single" w:sz="4" w:space="1" w:color="auto"/>
          <w:right w:val="single" w:sz="4" w:space="4" w:color="auto"/>
        </w:pBdr>
        <w:rPr>
          <w:i/>
          <w:highlight w:val="yellow"/>
        </w:rPr>
      </w:pPr>
      <w:r>
        <w:tab/>
        <w:t>CF Document Power point</w:t>
      </w:r>
    </w:p>
    <w:p w:rsidR="00BE4DAB" w:rsidRPr="00BE4DAB" w:rsidRDefault="00BE4DAB" w:rsidP="00823702">
      <w:pPr>
        <w:pBdr>
          <w:top w:val="single" w:sz="4" w:space="1" w:color="auto"/>
          <w:left w:val="single" w:sz="4" w:space="4" w:color="auto"/>
          <w:bottom w:val="single" w:sz="4" w:space="1" w:color="auto"/>
          <w:right w:val="single" w:sz="4" w:space="4" w:color="auto"/>
        </w:pBdr>
        <w:rPr>
          <w:b/>
          <w:color w:val="ED7D31" w:themeColor="accent2"/>
          <w:sz w:val="24"/>
          <w:szCs w:val="24"/>
        </w:rPr>
      </w:pPr>
      <w:r w:rsidRPr="00BE4DAB">
        <w:rPr>
          <w:b/>
          <w:color w:val="ED7D31" w:themeColor="accent2"/>
          <w:sz w:val="24"/>
          <w:szCs w:val="24"/>
        </w:rPr>
        <w:t>5</w:t>
      </w:r>
      <w:r w:rsidRPr="00BE4DAB">
        <w:rPr>
          <w:b/>
          <w:color w:val="ED7D31" w:themeColor="accent2"/>
          <w:sz w:val="24"/>
          <w:szCs w:val="24"/>
          <w:vertAlign w:val="superscript"/>
        </w:rPr>
        <w:t>ème</w:t>
      </w:r>
      <w:r w:rsidRPr="00BE4DAB">
        <w:rPr>
          <w:b/>
          <w:color w:val="ED7D31" w:themeColor="accent2"/>
          <w:sz w:val="24"/>
          <w:szCs w:val="24"/>
        </w:rPr>
        <w:t xml:space="preserve"> intervention : Le DITEP Montferrand/Volvic OVE</w:t>
      </w:r>
    </w:p>
    <w:p w:rsidR="00823702" w:rsidRDefault="00BE4DAB" w:rsidP="00823702">
      <w:pPr>
        <w:pBdr>
          <w:top w:val="single" w:sz="4" w:space="1" w:color="auto"/>
          <w:left w:val="single" w:sz="4" w:space="4" w:color="auto"/>
          <w:bottom w:val="single" w:sz="4" w:space="1" w:color="auto"/>
          <w:right w:val="single" w:sz="4" w:space="4" w:color="auto"/>
        </w:pBdr>
      </w:pPr>
      <w:r>
        <w:tab/>
        <w:t xml:space="preserve">CF Document Power point </w:t>
      </w:r>
    </w:p>
    <w:p w:rsidR="009A34A7" w:rsidRDefault="009A34A7" w:rsidP="00823702">
      <w:pPr>
        <w:pBdr>
          <w:top w:val="single" w:sz="4" w:space="1" w:color="auto"/>
          <w:left w:val="single" w:sz="4" w:space="4" w:color="auto"/>
          <w:bottom w:val="single" w:sz="4" w:space="1" w:color="auto"/>
          <w:right w:val="single" w:sz="4" w:space="4" w:color="auto"/>
        </w:pBdr>
        <w:rPr>
          <w:b/>
          <w:i/>
          <w:color w:val="ED7D31" w:themeColor="accent2"/>
        </w:rPr>
      </w:pPr>
    </w:p>
    <w:p w:rsidR="00823702" w:rsidRPr="00BE4DAB" w:rsidRDefault="00BE4DAB" w:rsidP="00823702">
      <w:pPr>
        <w:pBdr>
          <w:top w:val="single" w:sz="4" w:space="1" w:color="auto"/>
          <w:left w:val="single" w:sz="4" w:space="4" w:color="auto"/>
          <w:bottom w:val="single" w:sz="4" w:space="1" w:color="auto"/>
          <w:right w:val="single" w:sz="4" w:space="4" w:color="auto"/>
        </w:pBdr>
        <w:rPr>
          <w:b/>
          <w:i/>
          <w:color w:val="ED7D31" w:themeColor="accent2"/>
        </w:rPr>
      </w:pPr>
      <w:r w:rsidRPr="00BE4DAB">
        <w:rPr>
          <w:b/>
          <w:i/>
          <w:color w:val="ED7D31" w:themeColor="accent2"/>
        </w:rPr>
        <w:t>Bilan de cette rencontre :</w:t>
      </w:r>
    </w:p>
    <w:p w:rsidR="00BE4DAB" w:rsidRPr="00BE4DAB" w:rsidRDefault="00BE4DAB" w:rsidP="00BE4DAB">
      <w:pPr>
        <w:pBdr>
          <w:top w:val="single" w:sz="4" w:space="1" w:color="auto"/>
          <w:left w:val="single" w:sz="4" w:space="4" w:color="auto"/>
          <w:bottom w:val="single" w:sz="4" w:space="1" w:color="auto"/>
          <w:right w:val="single" w:sz="4" w:space="4" w:color="auto"/>
        </w:pBdr>
        <w:spacing w:before="240" w:after="0"/>
        <w:rPr>
          <w:rFonts w:ascii="Arial" w:hAnsi="Arial" w:cs="Arial"/>
          <w:b/>
          <w:sz w:val="20"/>
          <w:szCs w:val="20"/>
        </w:rPr>
      </w:pPr>
      <w:r w:rsidRPr="00BE4DAB">
        <w:rPr>
          <w:rFonts w:ascii="Arial" w:hAnsi="Arial" w:cs="Arial"/>
          <w:b/>
          <w:sz w:val="20"/>
          <w:szCs w:val="20"/>
        </w:rPr>
        <w:t>Faire évoluer nos institutions avec le public qui bouge, la grande région à dynamiser</w:t>
      </w:r>
      <w:r>
        <w:rPr>
          <w:rFonts w:ascii="Arial" w:hAnsi="Arial" w:cs="Arial"/>
          <w:b/>
          <w:sz w:val="20"/>
          <w:szCs w:val="20"/>
        </w:rPr>
        <w:t xml:space="preserve"> le travail de mise en dispositif</w:t>
      </w:r>
      <w:r w:rsidRPr="00BE4DAB">
        <w:rPr>
          <w:rFonts w:ascii="Arial" w:hAnsi="Arial" w:cs="Arial"/>
          <w:b/>
          <w:sz w:val="20"/>
          <w:szCs w:val="20"/>
        </w:rPr>
        <w:t>.</w:t>
      </w:r>
    </w:p>
    <w:p w:rsidR="00BE4DAB" w:rsidRPr="00BE4DAB" w:rsidRDefault="00BE4DAB" w:rsidP="00BE4DAB">
      <w:pPr>
        <w:pBdr>
          <w:top w:val="single" w:sz="4" w:space="1" w:color="auto"/>
          <w:left w:val="single" w:sz="4" w:space="4" w:color="auto"/>
          <w:bottom w:val="single" w:sz="4" w:space="1" w:color="auto"/>
          <w:right w:val="single" w:sz="4" w:space="4" w:color="auto"/>
        </w:pBdr>
        <w:spacing w:before="240" w:after="0"/>
        <w:rPr>
          <w:rFonts w:ascii="Arial" w:hAnsi="Arial" w:cs="Arial"/>
          <w:b/>
          <w:sz w:val="20"/>
          <w:szCs w:val="20"/>
        </w:rPr>
      </w:pPr>
      <w:r w:rsidRPr="00BE4DAB">
        <w:rPr>
          <w:rFonts w:ascii="Arial" w:hAnsi="Arial" w:cs="Arial"/>
          <w:b/>
          <w:sz w:val="20"/>
          <w:szCs w:val="20"/>
        </w:rPr>
        <w:t>Comment se mettre en Dispositif ?</w:t>
      </w:r>
      <w:r>
        <w:rPr>
          <w:rFonts w:ascii="Arial" w:hAnsi="Arial" w:cs="Arial"/>
          <w:b/>
          <w:sz w:val="20"/>
          <w:szCs w:val="20"/>
        </w:rPr>
        <w:t xml:space="preserve"> Il existe un écart entre le dire et le pratiquer !</w:t>
      </w:r>
    </w:p>
    <w:p w:rsidR="00BE4DAB" w:rsidRPr="00BE4DAB" w:rsidRDefault="00BE4DAB" w:rsidP="00BE4DAB">
      <w:pPr>
        <w:pBdr>
          <w:top w:val="single" w:sz="4" w:space="1" w:color="auto"/>
          <w:left w:val="single" w:sz="4" w:space="4" w:color="auto"/>
          <w:bottom w:val="single" w:sz="4" w:space="1" w:color="auto"/>
          <w:right w:val="single" w:sz="4" w:space="4" w:color="auto"/>
        </w:pBdr>
        <w:spacing w:before="240" w:after="0"/>
        <w:rPr>
          <w:rFonts w:ascii="Arial" w:hAnsi="Arial" w:cs="Arial"/>
          <w:b/>
          <w:sz w:val="20"/>
          <w:szCs w:val="20"/>
        </w:rPr>
      </w:pPr>
      <w:r w:rsidRPr="00BE4DAB">
        <w:rPr>
          <w:rFonts w:ascii="Arial" w:hAnsi="Arial" w:cs="Arial"/>
          <w:b/>
          <w:sz w:val="20"/>
          <w:szCs w:val="20"/>
        </w:rPr>
        <w:t>Comment s’appuyer les uns sur les autres face à des situations plus complexes ?</w:t>
      </w:r>
    </w:p>
    <w:p w:rsidR="00BE4DAB" w:rsidRPr="00BE4DAB" w:rsidRDefault="00BE4DAB" w:rsidP="00BE4DAB">
      <w:pPr>
        <w:pBdr>
          <w:top w:val="single" w:sz="4" w:space="1" w:color="auto"/>
          <w:left w:val="single" w:sz="4" w:space="4" w:color="auto"/>
          <w:bottom w:val="single" w:sz="4" w:space="1" w:color="auto"/>
          <w:right w:val="single" w:sz="4" w:space="4" w:color="auto"/>
        </w:pBdr>
        <w:spacing w:before="240" w:after="0"/>
        <w:rPr>
          <w:rFonts w:ascii="Arial" w:hAnsi="Arial" w:cs="Arial"/>
          <w:b/>
          <w:sz w:val="20"/>
          <w:szCs w:val="20"/>
        </w:rPr>
      </w:pPr>
      <w:r w:rsidRPr="00BE4DAB">
        <w:rPr>
          <w:rFonts w:ascii="Arial" w:hAnsi="Arial" w:cs="Arial"/>
          <w:b/>
          <w:sz w:val="20"/>
          <w:szCs w:val="20"/>
        </w:rPr>
        <w:t>On est dans l’idée de mieux se connaitre, afin de créer des ponts pour mieux accompagner nos publics.</w:t>
      </w:r>
    </w:p>
    <w:p w:rsidR="00BE4DAB" w:rsidRPr="00BE4DAB" w:rsidRDefault="00BE4DAB" w:rsidP="00BE4DAB">
      <w:pPr>
        <w:pBdr>
          <w:top w:val="single" w:sz="4" w:space="1" w:color="auto"/>
          <w:left w:val="single" w:sz="4" w:space="4" w:color="auto"/>
          <w:bottom w:val="single" w:sz="4" w:space="1" w:color="auto"/>
          <w:right w:val="single" w:sz="4" w:space="4" w:color="auto"/>
        </w:pBdr>
        <w:spacing w:before="240" w:after="0"/>
        <w:rPr>
          <w:rFonts w:ascii="Arial" w:hAnsi="Arial" w:cs="Arial"/>
          <w:b/>
          <w:sz w:val="20"/>
          <w:szCs w:val="20"/>
        </w:rPr>
      </w:pPr>
      <w:r w:rsidRPr="00BE4DAB">
        <w:rPr>
          <w:rFonts w:ascii="Arial" w:hAnsi="Arial" w:cs="Arial"/>
          <w:b/>
          <w:sz w:val="20"/>
          <w:szCs w:val="20"/>
        </w:rPr>
        <w:t>On parle de «</w:t>
      </w:r>
      <w:r w:rsidR="009A34A7">
        <w:rPr>
          <w:rFonts w:ascii="Arial" w:hAnsi="Arial" w:cs="Arial"/>
          <w:b/>
          <w:sz w:val="20"/>
          <w:szCs w:val="20"/>
        </w:rPr>
        <w:t xml:space="preserve"> </w:t>
      </w:r>
      <w:r w:rsidRPr="00BE4DAB">
        <w:rPr>
          <w:rFonts w:ascii="Arial" w:hAnsi="Arial" w:cs="Arial"/>
          <w:b/>
          <w:sz w:val="20"/>
          <w:szCs w:val="20"/>
        </w:rPr>
        <w:t>HORS LES MURS »</w:t>
      </w:r>
      <w:r>
        <w:rPr>
          <w:rFonts w:ascii="Arial" w:hAnsi="Arial" w:cs="Arial"/>
          <w:b/>
          <w:sz w:val="20"/>
          <w:szCs w:val="20"/>
        </w:rPr>
        <w:t xml:space="preserve">, nos pratiques évoluent en lieu avec les recommandations européennes sur la désinstitutionalisation. </w:t>
      </w:r>
    </w:p>
    <w:sectPr w:rsidR="00BE4DAB" w:rsidRPr="00BE4D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702"/>
    <w:rsid w:val="000B7906"/>
    <w:rsid w:val="0067756E"/>
    <w:rsid w:val="00681E7F"/>
    <w:rsid w:val="00823702"/>
    <w:rsid w:val="009A34A7"/>
    <w:rsid w:val="00A52B63"/>
    <w:rsid w:val="00A9143E"/>
    <w:rsid w:val="00BE4D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2AA7F-E4F1-4E6C-8FD5-7CF10DF1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23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775</Words>
  <Characters>4267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Mazerolle</dc:creator>
  <cp:keywords/>
  <dc:description/>
  <cp:lastModifiedBy>Samuel F. HÀ-PHẪM</cp:lastModifiedBy>
  <cp:revision>6</cp:revision>
  <dcterms:created xsi:type="dcterms:W3CDTF">2018-07-11T08:20:00Z</dcterms:created>
  <dcterms:modified xsi:type="dcterms:W3CDTF">2018-09-01T13:58:00Z</dcterms:modified>
</cp:coreProperties>
</file>